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Студентам необходимо подготовить в электронном виде и разместить в ИОС самостоятельные работы в формате текстового доклада (doc, docx, pdf) или мультимедийной презентации (pptx, pdf) по теме "Цифровые технологии в государственном и муниципальном управлении. Задачи цифровой трансформации государственного и муниципального управления"</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 </w:t>
      </w:r>
      <w:r>
        <w:rPr>
          <w:rFonts w:ascii="Georgia" w:hAnsi="Georgia"/>
          <w:color w:val="3366FF"/>
          <w:sz w:val="20"/>
          <w:szCs w:val="20"/>
        </w:rPr>
        <w:t>Для подготовки презентации (доклада) студенту следует выбрать одну из тем, представленных в дальнейшем описании задания.</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b/>
          <w:bCs/>
          <w:color w:val="2A2513"/>
          <w:sz w:val="20"/>
          <w:szCs w:val="20"/>
        </w:rPr>
        <w:t>Темы для подготовки докладов или презентаций:</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     Концептуальные основы развития цифровых технологий в государственным управлении (цифровой трансформации ГУ)</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2.     Цифровая трансформация государственного управления: понятие, принципы, правовое регулирование.</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3.     Государственная программа «Цифровая экономика Российской Федерации»: цели, общая характеристика федеральных проектов.</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4.     Направления и задачи цифровой трансформации государственного и муниципального управления.</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5.     Региональный опыт реализации проектов цифровизации государственного управления (на примере конкретного региона).</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6.     Влияние цифровой трансформации на принципы и практику деятельности органов власти.</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7.     Большие данные и аналитика в государственном управлении: понятие и область применения.</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8.     Международный и российский опыт использования больших данных в государственном секторе.</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9.     Технологии искусственного интеллекта в государственном и муниципальном управлении.</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10.  Блокчейн в государственном и муниципальном управлении.</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11.  Опыт органов государственной власти по использованию технологии распределенного реестра (на конкретном примере).</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12.  Квантовые технологии в построении цифровой экономики.</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b/>
          <w:bCs/>
          <w:color w:val="2A2513"/>
          <w:sz w:val="21"/>
          <w:szCs w:val="21"/>
        </w:rPr>
        <w:t>13.  </w:t>
      </w:r>
      <w:r>
        <w:rPr>
          <w:rFonts w:ascii="Georgia" w:hAnsi="Georgia"/>
          <w:color w:val="2A2513"/>
          <w:sz w:val="21"/>
          <w:szCs w:val="21"/>
        </w:rPr>
        <w:t>Датацентричное государственной и муниципальное управления. Принципы управления, основанного на данных. Big Data </w:t>
      </w:r>
      <w:r>
        <w:rPr>
          <w:rFonts w:ascii="Georgia" w:hAnsi="Georgia"/>
          <w:b/>
          <w:bCs/>
          <w:color w:val="2A2513"/>
          <w:sz w:val="21"/>
          <w:szCs w:val="21"/>
        </w:rPr>
        <w:t>в публичном управления.</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14.  </w:t>
      </w:r>
      <w:r>
        <w:rPr>
          <w:rFonts w:ascii="Georgia" w:hAnsi="Georgia"/>
          <w:b/>
          <w:bCs/>
          <w:color w:val="2A2513"/>
          <w:sz w:val="21"/>
          <w:szCs w:val="21"/>
        </w:rPr>
        <w:t>Открытые данные как направление технологического развития системы публичного управления. Принципы и системы управления данными для целей публичного управления в России и мире.</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15.  Интернет вещей: возможности для публичного управления.</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16.  Влияние цифровой прослеживаемости на развитие малого и среднего предпринимательства.</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17.  Роль цифровой прослеживаемости в развитии цифровой экономики.</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18.  Цифровые двойники и цифровые профили: общее и специфическое.</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19.  Практика использования цифровых двойников и цифровых профилей в  отраслевом управлении.</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lastRenderedPageBreak/>
        <w:t>20.  Эффекты и риски внедрения цифровых технологий в государственный и муниципальный сектор. </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21.  Угрозы цифровой трансформации государственного управления.</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b/>
          <w:bCs/>
          <w:color w:val="FF0000"/>
          <w:sz w:val="20"/>
          <w:szCs w:val="20"/>
        </w:rPr>
        <w:t>Требования к оформлению самостоятельной работы в формате текстового доклада:</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Объем работы составляет 4-8 страниц формата А4, подготовленных в редакторе MS Word или ином текстовом редакторе, шрифт Times New Roman, размер шрифта 14, межбуквенный интервал обычный, межстрочный интервал полуторный, параметры страницы – поля по 2 см., ориентация книжная.</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Вверху по центру указывается фамилия, имя, отчество автора самостоятельной работы, выбранная студентом тема доклада жирным шрифтом.</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Затем через один пропущенный интервал располагается текст доклада. После него через один интервал помещается библиографический список.</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Материал в докладе должен излагаться последовательно в соответствии с выбранной темой. Результатом работы должно быть полноценное раскрытие всех аспектов, предусмотренных формулировкой темы, выбранной студентом. 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Ссылки на источники данных, использованных при написании работы, указываются в подстрочном формате, т.е. размещаются внизу страницы и отделяются от текста короткой прямой чертой (с использованием встроенной функции вставки сносок текстового редактора).</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 </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b/>
          <w:bCs/>
          <w:color w:val="FF0000"/>
          <w:sz w:val="21"/>
          <w:szCs w:val="21"/>
        </w:rPr>
        <w:t>Требования к оформлению самостоятельной работы в формате мультимедийной презентации (pptx, pdf):</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Объем работы составляет примерно 6-15 слайдов, подготовленных в любом приложении для создания презентаций </w:t>
      </w:r>
      <w:r>
        <w:rPr>
          <w:rFonts w:ascii="Georgia" w:hAnsi="Georgia"/>
          <w:i/>
          <w:iCs/>
          <w:color w:val="FF0000"/>
          <w:sz w:val="21"/>
          <w:szCs w:val="21"/>
        </w:rPr>
        <w:t>(ограничения по объему не строгие, но слайды должны в полной пере раскрыть тему)</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На титульном слайде указывается фамилия, имя, отчество автора самостоятельной работы, выбранная студентом тема доклада.</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Далее автор представляет материал, определённый темой.</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На последний слайд презентации помещается список источников, использованных при подготовке презентации.</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Материал в презентации должен излагаться последовательно в соответствии с выбранной темой. В презентации должна быть полноценно раскрыта тема, выбранная студентом.</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Отличительной особенностью презентации является возможность представлять материал преимущественно в виде инфографики, иллюстраций, схем, диаграмм и иных визуальных моделей представления аспектов выбранной теории. Соответственно, текстовое изложение положений теории используется в меньшей степени, скорее в целях описания тех или иных графических моделей. Не следует использовать презентацию, если студент представляет только текстовый материал. Для этого следует выбрать формат текстового доклада.</w:t>
      </w:r>
    </w:p>
    <w:p w:rsidR="0034409B" w:rsidRDefault="0034409B" w:rsidP="0034409B">
      <w:pPr>
        <w:pStyle w:val="a3"/>
        <w:shd w:val="clear" w:color="auto" w:fill="FFFFFF"/>
        <w:spacing w:before="0" w:beforeAutospacing="0" w:after="240" w:afterAutospacing="0"/>
        <w:rPr>
          <w:rFonts w:ascii="Georgia" w:hAnsi="Georgia"/>
          <w:color w:val="2A2513"/>
          <w:sz w:val="21"/>
          <w:szCs w:val="21"/>
        </w:rPr>
      </w:pPr>
      <w:r>
        <w:rPr>
          <w:rFonts w:ascii="Georgia" w:hAnsi="Georgia"/>
          <w:color w:val="FF0000"/>
          <w:sz w:val="21"/>
          <w:szCs w:val="21"/>
        </w:rPr>
        <w:t>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w:t>
      </w:r>
    </w:p>
    <w:p w:rsidR="002B4B72" w:rsidRDefault="0034409B">
      <w:bookmarkStart w:id="0" w:name="_GoBack"/>
      <w:bookmarkEnd w:id="0"/>
    </w:p>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549"/>
    <w:rsid w:val="00115587"/>
    <w:rsid w:val="001B7030"/>
    <w:rsid w:val="0034409B"/>
    <w:rsid w:val="004C1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0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0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9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2021-11-23T07:04:00Z</dcterms:created>
  <dcterms:modified xsi:type="dcterms:W3CDTF">2021-11-23T07:04:00Z</dcterms:modified>
</cp:coreProperties>
</file>